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ind w:left="457" w:right="453"/>
        <w:pStyle w:val="0"/>
        <w:spacing w:after="0" w:lineRule="auto" w:line="259.0008"/>
        <w:rPr>
          <w:b w:val="1"/>
        </w:rPr>
      </w:pPr>
      <w:r>
        <w:rPr>
          <w:b w:val="1"/>
        </w:rPr>
        <w:t xml:space="preserve">Правила проведения рекламной акции</w:t>
      </w:r>
    </w:p>
    <w:p>
      <w:pPr>
        <w:jc w:val="center"/>
        <w:ind w:left="457" w:right="453"/>
        <w:pStyle w:val="0"/>
        <w:spacing w:after="0" w:lineRule="auto" w:line="259.0008"/>
      </w:pPr>
      <w:r>
        <w:rPr>
          <w:b w:val="1"/>
        </w:rPr>
        <w:t xml:space="preserve">«Комплексное обследование щитовидной железы за 3390руб.» </w:t>
      </w:r>
    </w:p>
    <w:p>
      <w:pPr>
        <w:jc w:val="center"/>
        <w:ind w:left="52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right="453"/>
        <w:pStyle w:val="0"/>
        <w:spacing w:after="0" w:lineRule="auto" w:line="259.0008"/>
      </w:pPr>
      <w:r>
        <w:rPr>
          <w:b w:val="1"/>
        </w:rPr>
        <w:t xml:space="preserve">1. Наименование рекламной акции: «Комплексное обследование щитовидной железы за 3390руб.»  (</w:t>
      </w:r>
      <w:r>
        <w:t xml:space="preserve">далее – «Акция»). </w:t>
      </w:r>
    </w:p>
    <w:p>
      <w:pPr>
        <w:jc w:val="left"/>
        <w:ind w:left="0" w:firstLine="0"/>
        <w:pStyle w:val="0"/>
        <w:spacing w:after="22" w:lineRule="auto" w:line="259.0008"/>
      </w:pPr>
      <w:r>
        <w:rPr>
          <w:b w:val="1"/>
        </w:rPr>
        <w:t xml:space="preserve"> </w:t>
      </w:r>
    </w:p>
    <w:p>
      <w:pPr>
        <w:ind w:left="206" w:right="0" w:hanging="221"/>
        <w:pStyle w:val="1"/>
      </w:pPr>
      <w:r>
        <w:t xml:space="preserve">Информация об Организаторах Акции </w:t>
      </w:r>
    </w:p>
    <w:p>
      <w:pPr>
        <w:ind w:left="-5"/>
        <w:pStyle w:val="0"/>
      </w:pPr>
      <w:r>
        <w:t xml:space="preserve">2.1. Полное фирменное наименование организации: Общество с ограниченной ответственностью «СКАЙЛАБ» </w:t>
      </w:r>
    </w:p>
    <w:p>
      <w:pPr>
        <w:ind w:left="-5"/>
        <w:pStyle w:val="0"/>
      </w:pPr>
      <w:r>
        <w:t xml:space="preserve">Адрес местонахождения, фактический и почтовый адрес: 443022, г. Самара, Заводское шоссе, д. 14 литер В</w:t>
      </w:r>
    </w:p>
    <w:p>
      <w:pPr>
        <w:ind w:left="-5"/>
        <w:pStyle w:val="0"/>
      </w:pPr>
      <w:r>
        <w:t xml:space="preserve">Директор: Волков Максим Дмитриевич</w:t>
      </w:r>
    </w:p>
    <w:p>
      <w:pPr>
        <w:ind w:left="-5"/>
        <w:pStyle w:val="0"/>
      </w:pPr>
      <w:r>
        <w:t xml:space="preserve">ОГРН 1156316001599</w:t>
      </w:r>
    </w:p>
    <w:p>
      <w:pPr>
        <w:ind w:left="-5"/>
        <w:pStyle w:val="0"/>
      </w:pPr>
      <w:r>
        <w:t xml:space="preserve">ИНН  6316205446</w:t>
      </w:r>
    </w:p>
    <w:p>
      <w:pPr>
        <w:jc w:val="left"/>
        <w:ind w:left="0" w:firstLine="0"/>
        <w:pStyle w:val="0"/>
        <w:spacing w:after="20" w:lineRule="auto" w:line="259.0008"/>
      </w:pPr>
      <w:r>
        <w:t xml:space="preserve">КПП 631807001 </w:t>
      </w:r>
    </w:p>
    <w:p>
      <w:pPr>
        <w:jc w:val="left"/>
        <w:ind w:left="0" w:firstLine="0"/>
        <w:pStyle w:val="0"/>
        <w:spacing w:after="27" w:lineRule="auto" w:line="259.0008"/>
      </w:pPr>
    </w:p>
    <w:p>
      <w:pPr>
        <w:ind w:left="206" w:right="0" w:hanging="221"/>
        <w:pStyle w:val="1"/>
      </w:pPr>
      <w:r>
        <w:t xml:space="preserve">Территория проведения Акции </w:t>
      </w:r>
    </w:p>
    <w:p>
      <w:pPr>
        <w:ind w:left="-5"/>
        <w:pStyle w:val="0"/>
      </w:pPr>
      <w:r>
        <w:t xml:space="preserve">Акция проводится на территории Российской Федерации в медицинских кабинетах ООО «СКАЙЛАБ», оказывающих медицинские услуги населению на основании лицензии на соответствующий вид медицинской деятельности указанных в Приложении к настоящим Правилам, которое является неотъемлемой частью настоящих Правил.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ind w:left="206" w:right="0" w:hanging="221"/>
        <w:pStyle w:val="1"/>
      </w:pPr>
      <w:r>
        <w:t xml:space="preserve">Сроки проведения Акции </w:t>
      </w:r>
    </w:p>
    <w:p>
      <w:pPr>
        <w:jc w:val="left"/>
        <w:ind w:left="-5"/>
        <w:pStyle w:val="0"/>
        <w:spacing w:after="4"/>
      </w:pPr>
      <w:r>
        <w:t xml:space="preserve">4.1. Срок проведения Акции: </w:t>
      </w:r>
      <w:r>
        <w:rPr>
          <w:b w:val="1"/>
        </w:rPr>
        <w:t xml:space="preserve">с «17» апреля 2017 года по «31</w:t>
      </w:r>
      <w:r>
        <w:rPr>
          <w:b w:val="1"/>
        </w:rPr>
        <w:t xml:space="preserve">» августа</w:t>
      </w:r>
      <w:r>
        <w:rPr>
          <w:b w:val="1"/>
        </w:rPr>
        <w:t xml:space="preserve"> 2017 года</w:t>
      </w:r>
      <w:r>
        <w:t xml:space="preserve"> включительно. </w:t>
      </w:r>
    </w:p>
    <w:p>
      <w:pPr>
        <w:ind w:left="-5"/>
        <w:pStyle w:val="0"/>
      </w:pPr>
      <w:r>
        <w:t xml:space="preserve">4.2. Информацию по режиму работы медицинских кабинетов и о возможных изменениях графика приема можно узнать на сайте </w:t>
      </w:r>
      <w:hyperlink r:id="rId1">
        <w:r>
          <w:rPr>
            <w:color w:val="0563c1"/>
            <w:u w:val="single"/>
          </w:rPr>
          <w:t>www.skylabkdl.ru</w:t>
        </w:r>
      </w:hyperlink>
    </w:p>
    <w:p>
      <w:pPr>
        <w:ind w:left="0" w:firstLine="0"/>
        <w:pStyle w:val="0"/>
      </w:pPr>
      <w:r>
        <w:t xml:space="preserve">или по телефону горячей линии: 8 (800)-550-56-06   (звонок по России бесплатный). </w:t>
      </w:r>
    </w:p>
    <w:p>
      <w:pPr>
        <w:jc w:val="left"/>
        <w:ind w:left="0" w:firstLine="0"/>
        <w:pStyle w:val="0"/>
        <w:spacing w:after="0" w:lineRule="auto" w:line="259.0008"/>
      </w:pPr>
      <w:r>
        <w:rPr>
          <w:b w:val="1"/>
        </w:rPr>
        <w:t xml:space="preserve"> </w:t>
      </w:r>
    </w:p>
    <w:p>
      <w:pPr>
        <w:ind w:left="-5" w:right="0"/>
        <w:pStyle w:val="1"/>
      </w:pPr>
      <w:r>
        <w:t xml:space="preserve">Порядок и способ информирования участников Акции об условиях проведения Акции и ее сроках </w:t>
      </w:r>
    </w:p>
    <w:p>
      <w:pPr>
        <w:jc w:val="left"/>
        <w:ind w:left="-5" w:right="-14"/>
        <w:pStyle w:val="0"/>
        <w:spacing w:after="25" w:lineRule="auto" w:line="253.0008"/>
      </w:pPr>
      <w:r>
        <w:t xml:space="preserve">5.1. Участниками Акции являются совершеннолетние </w:t>
        <w:tab/>
        <w:t xml:space="preserve">физические лица, </w:t>
        <w:tab/>
        <w:t xml:space="preserve">дееспособные, проживающие на территории Российской Федерации и принявшие участие в Акции (далее – «Участники Акции») в порядке, указанном в п.6 настоящих Правил. </w:t>
      </w:r>
    </w:p>
    <w:p>
      <w:pPr>
        <w:ind w:left="-5"/>
        <w:pStyle w:val="0"/>
        <w:spacing w:after="28"/>
      </w:pPr>
      <w:r>
        <w:t xml:space="preserve">5.2. Участники Акции информируются об условиях и сроках ее проведения через следующие источники: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указываются на информационных стендах в медицинских кабинетах;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размещены на интернет-сайте </w:t>
      </w:r>
      <w:hyperlink r:id="rId2">
        <w:r>
          <w:rPr>
            <w:color w:val="0563c1"/>
            <w:u w:val="single"/>
          </w:rPr>
          <w:t>www.skylabkdl.ru</w:t>
        </w:r>
      </w:hyperlink>
      <w:r>
        <w:t xml:space="preserve"> ; </w:t>
      </w:r>
    </w:p>
    <w:p>
      <w:pPr>
        <w:ind w:hanging="360"/>
        <w:pStyle w:val="0"/>
        <w:numPr>
          <w:ilvl w:val="0"/>
          <w:numId w:val="1"/>
        </w:numPr>
      </w:pPr>
      <w:r>
        <w:t xml:space="preserve">условия Акции можно получить у администраторов медицинских кабинетов, а также по телефону горячей линии 8 (800)-550-56-06 для звонков с территории Российской Федерации. </w:t>
      </w:r>
    </w:p>
    <w:p>
      <w:pPr>
        <w:ind w:left="-5"/>
        <w:pStyle w:val="0"/>
      </w:pPr>
      <w:r>
        <w:t xml:space="preserve">5.3. В случае изменения условий и/или досрочного прекращения проведения Акции информация об этом будет опубликована Организаторами Акции на сайте </w:t>
      </w:r>
      <w:hyperlink r:id="rId3">
        <w:r>
          <w:rPr>
            <w:color w:val="0563c1"/>
            <w:u w:val="single"/>
          </w:rPr>
          <w:t>www.skylabkdl.ru</w:t>
        </w:r>
      </w:hyperlink>
      <w:r>
        <w:t>.</w:t>
      </w:r>
    </w:p>
    <w:p>
      <w:pPr>
        <w:ind w:left="-5"/>
        <w:pStyle w:val="0"/>
      </w:pPr>
      <w:r>
        <w:t xml:space="preserve"> </w:t>
      </w:r>
    </w:p>
    <w:p>
      <w:pPr>
        <w:ind w:left="206" w:right="0" w:hanging="221"/>
        <w:pStyle w:val="1"/>
      </w:pPr>
      <w:r>
        <w:t xml:space="preserve">Порядок участия в Акции </w:t>
      </w:r>
    </w:p>
    <w:p>
      <w:pPr>
        <w:ind w:left="-5"/>
        <w:pStyle w:val="0"/>
      </w:pPr>
      <w:r>
        <w:t xml:space="preserve">6.1. В Акции могут принимать участие дееспособные, совершеннолетние физические лица, проживающие на территории Российской Федерации. </w:t>
      </w:r>
    </w:p>
    <w:p>
      <w:pPr>
        <w:ind w:left="-5"/>
        <w:pStyle w:val="0"/>
        <w:spacing w:after="29"/>
      </w:pPr>
      <w:r>
        <w:t xml:space="preserve">6.2. Для участия в Акции Участнику необходимо обратиться в медицинские кабинеты, предварительно уточнив по телефону горячей линии: 8 (800)-550-56-06  (звонок по России бесплатный) график взятия биоматериала, пройти регистрацию и заказать единовременно следующие лабораторные исследования (далее – «лабораторные исследования»): </w:t>
      </w:r>
    </w:p>
    <w:p>
      <w:pPr>
        <w:pStyle w:val="0"/>
        <w:numPr>
          <w:ilvl w:val="0"/>
          <w:numId w:val="2"/>
        </w:numPr>
      </w:pPr>
      <w:r>
        <w:t xml:space="preserve">Отношение ПСА свободного к ПСА общему; </w:t>
      </w:r>
    </w:p>
    <w:p>
      <w:pPr>
        <w:pStyle w:val="0"/>
        <w:numPr>
          <w:ilvl w:val="0"/>
          <w:numId w:val="2"/>
        </w:numPr>
      </w:pPr>
      <w:r>
        <w:t xml:space="preserve">Общий Т3; </w:t>
      </w:r>
    </w:p>
    <w:p>
      <w:pPr>
        <w:pStyle w:val="0"/>
        <w:numPr>
          <w:ilvl w:val="0"/>
          <w:numId w:val="2"/>
        </w:numPr>
      </w:pPr>
      <w:r>
        <w:t xml:space="preserve">Т3 свободный; </w:t>
      </w:r>
    </w:p>
    <w:p>
      <w:pPr>
        <w:pStyle w:val="0"/>
        <w:numPr>
          <w:ilvl w:val="0"/>
          <w:numId w:val="2"/>
        </w:numPr>
      </w:pPr>
      <w:r>
        <w:t xml:space="preserve">Т4 общий; </w:t>
      </w:r>
    </w:p>
    <w:p>
      <w:pPr>
        <w:pStyle w:val="0"/>
        <w:numPr>
          <w:ilvl w:val="0"/>
          <w:numId w:val="2"/>
        </w:numPr>
      </w:pPr>
      <w:r>
        <w:t xml:space="preserve">Т4 свободный; </w:t>
      </w:r>
    </w:p>
    <w:p>
      <w:pPr>
        <w:pStyle w:val="0"/>
        <w:numPr>
          <w:ilvl w:val="0"/>
          <w:numId w:val="2"/>
        </w:numPr>
      </w:pPr>
      <w:r>
        <w:t xml:space="preserve">ТТГ (тиреотропный гормон); </w:t>
      </w:r>
    </w:p>
    <w:p>
      <w:pPr>
        <w:pStyle w:val="0"/>
        <w:numPr>
          <w:ilvl w:val="0"/>
          <w:numId w:val="2"/>
        </w:numPr>
      </w:pPr>
      <w:r>
        <w:t xml:space="preserve">Антитела к тиреоглобулину (анти-ТГ); </w:t>
      </w:r>
    </w:p>
    <w:p>
      <w:pPr>
        <w:pStyle w:val="0"/>
        <w:numPr>
          <w:ilvl w:val="0"/>
          <w:numId w:val="2"/>
        </w:numPr>
      </w:pPr>
      <w:r>
        <w:t xml:space="preserve">Антитела к тиреопероксидазе (анти-ТПО); </w:t>
      </w:r>
    </w:p>
    <w:p>
      <w:pPr>
        <w:pStyle w:val="0"/>
        <w:numPr>
          <w:ilvl w:val="0"/>
          <w:numId w:val="2"/>
        </w:numPr>
      </w:pPr>
      <w:r>
        <w:t xml:space="preserve">Тест поглощения тиреоидныx гормонов; </w:t>
      </w:r>
    </w:p>
    <w:p>
      <w:pPr>
        <w:pStyle w:val="0"/>
        <w:numPr>
          <w:ilvl w:val="0"/>
          <w:numId w:val="2"/>
        </w:numPr>
      </w:pPr>
      <w:r>
        <w:t xml:space="preserve">Тиреоглобулин, далее – «набор лабораторных исследований, лабораторные исследования».  </w:t>
      </w:r>
    </w:p>
    <w:p>
      <w:pPr>
        <w:ind w:left="-15" w:firstLine="708"/>
        <w:pStyle w:val="0"/>
      </w:pPr>
      <w:r>
        <w:t xml:space="preserve">Стоимость набора лабораторных исследований, заказанных по Акции, составляет 3 390 (три тысячи триста девяносто) рублей. Стоимость взятия биологического материала (кровь из вены) у Участников Акции для выполнения лабораторных исследований включена в стоимость данных лабораторных исследований и дополнительно Участниками Акции не оплачивается. 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Взятие биоматериала (крови из вены) для выполнения лабораторных исследований осуществляется исключительно в медицинских кабинетах. 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Оформление заказов Участников Акции на выполнение лабораторных исследований осуществляется в медицинских кабинетах путем заключения Участником Акции договора на оказание платных медицинских услуг в период проведения Акции. Регистрация Участников Акции проводится в медицинских кабинетах в день обращения Участников Акции путем внесения сведений об Участниках Акции: фамилии, имени, отчества, пола, даты рождения, в электронную систему, осуществляющую учет заказов медицинских услуг в медицинских кабинетах.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Участие в Акции не предусматривает оказание Участникам Акции иных медицинских услуг кроме выполнения набора лабораторных исследований и взятия биологического материала для выполнения набора лабораторных исследований.  </w:t>
      </w:r>
    </w:p>
    <w:p>
      <w:pPr>
        <w:ind w:hanging="554"/>
        <w:pStyle w:val="0"/>
        <w:numPr>
          <w:ilvl w:val="1"/>
          <w:numId w:val="3"/>
        </w:numPr>
      </w:pPr>
      <w:r>
        <w:t xml:space="preserve">В случае если у Участника Акции возникнет необходимость заказать какие-либо дополнительные медицинские услуги, предлагаемые медицинскими кабинетами, оформляется отдельный заказ, который оплачивается Участником Акции в установленном порядке согласно ценам, указанным в утвержденном прайс-листе медицинских кабинетов, а также на сайте </w:t>
      </w:r>
      <w:hyperlink r:id="rId4">
        <w:r>
          <w:rPr>
            <w:color w:val="0563c1"/>
            <w:u w:val="single"/>
          </w:rPr>
          <w:t>www.skylabkdl.ru</w:t>
        </w:r>
      </w:hyperlink>
      <w:r>
        <w:t xml:space="preserve"> в разделах «Анализы и цены» и «Адреса и услуги».  Взятие биоматериала дополнительно пациентом не оплачивается.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Участники Акции обязаны выполнить предварительные условия подготовки к взятию биоматериала для проведения лабораторных исследований, указанные на сайте </w:t>
      </w:r>
      <w:hyperlink r:id="rId5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 Участники Акции обязаны выполнить условия сбора и хранения биоматериала (моча) для проведения лабораторных исследований, указанные на сайте </w:t>
      </w:r>
      <w:hyperlink r:id="rId6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 </w:t>
      </w:r>
    </w:p>
    <w:p>
      <w:pPr>
        <w:ind w:hanging="554"/>
        <w:pStyle w:val="0"/>
        <w:numPr>
          <w:ilvl w:val="1"/>
          <w:numId w:val="3"/>
        </w:numPr>
      </w:pPr>
      <w:r>
        <w:t xml:space="preserve">Организаторы Акции вправе отказать Участникам Акции во взятии биоматериала у Участников Акции и проведении лабораторных исследований в случае выявления противопоказаний к проведению данных лабораторных исследований.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Срок выполнения лабораторных исследований – до 3 (трех) рабочих дней с даты взятия биоматериала, не считая дня взятия биоматериала. </w:t>
      </w:r>
    </w:p>
    <w:p>
      <w:pPr>
        <w:ind w:hanging="554"/>
        <w:pStyle w:val="0"/>
        <w:numPr>
          <w:ilvl w:val="1"/>
          <w:numId w:val="3"/>
        </w:numPr>
      </w:pPr>
      <w:r>
        <w:t xml:space="preserve">По окончании выполнения лабораторных исследований Участникам Акции выдаются результаты данных лабораторных исследований в порядке, указанном в п. 8 настоящих Правил. </w:t>
      </w:r>
    </w:p>
    <w:p>
      <w:pPr>
        <w:ind w:hanging="554"/>
        <w:pStyle w:val="0"/>
        <w:numPr>
          <w:ilvl w:val="1"/>
          <w:numId w:val="3"/>
        </w:numPr>
      </w:pPr>
      <w:r>
        <w:t xml:space="preserve">Скидка по дисконтным картам при заказе набора лабораторных исследований в период проведения Акции участникам Акции не предоставляется.  </w:t>
      </w:r>
    </w:p>
    <w:p>
      <w:pPr>
        <w:jc w:val="left"/>
        <w:ind w:left="0" w:firstLine="0"/>
        <w:pStyle w:val="0"/>
        <w:spacing w:after="24" w:lineRule="auto" w:line="259.0008"/>
      </w:pPr>
    </w:p>
    <w:p>
      <w:pPr>
        <w:ind w:left="206" w:right="0" w:hanging="221"/>
        <w:pStyle w:val="1"/>
      </w:pPr>
      <w:r>
        <w:t xml:space="preserve">Призовой фонд Акции </w:t>
      </w:r>
    </w:p>
    <w:p>
      <w:pPr>
        <w:ind w:left="-5"/>
        <w:pStyle w:val="0"/>
      </w:pPr>
      <w:r>
        <w:t xml:space="preserve">Призовой фонд Акции включает в себя выполнение набора лабораторных исследований и направление на Комплексное УЗИ щитовидной железы с оценкой регионарных лимфатических узлов с применением ЦДК, ЭД и импульсной допплерографии в Медицинском центре «Самарская школа ультразвука» по цене 3 390 (три тысячи триста девяносто) рублей.  </w:t>
      </w:r>
    </w:p>
    <w:p>
      <w:pPr>
        <w:jc w:val="left"/>
        <w:ind w:left="0" w:firstLine="0"/>
        <w:pStyle w:val="0"/>
        <w:spacing w:after="27" w:lineRule="auto" w:line="259.0008"/>
      </w:pPr>
    </w:p>
    <w:p>
      <w:pPr>
        <w:ind w:left="206" w:right="0" w:hanging="221"/>
        <w:pStyle w:val="1"/>
      </w:pPr>
      <w:r>
        <w:t xml:space="preserve">Порядок получения результатов исследований </w:t>
      </w:r>
    </w:p>
    <w:p>
      <w:pPr>
        <w:ind w:left="-5"/>
        <w:pStyle w:val="0"/>
      </w:pPr>
      <w:r>
        <w:t xml:space="preserve">8.1. Получить результаты лабораторных исследований можно в медицинских кабинетах в срок, указанный в п. 6.9</w:t>
      </w:r>
      <w:r>
        <w:rPr>
          <w:color w:val="ff0000"/>
        </w:rPr>
        <w:t xml:space="preserve"> </w:t>
      </w:r>
      <w:r>
        <w:t xml:space="preserve">настоящих Правил.   </w:t>
      </w:r>
    </w:p>
    <w:p>
      <w:pPr>
        <w:ind w:left="-5"/>
        <w:pStyle w:val="0"/>
      </w:pPr>
      <w:r>
        <w:t xml:space="preserve">8.2. Получить результаты лабораторных исследований можно также по предварительной заявке:  </w:t>
      </w:r>
    </w:p>
    <w:p>
      <w:pPr>
        <w:ind w:left="-5"/>
        <w:pStyle w:val="0"/>
      </w:pPr>
      <w:r>
        <w:t xml:space="preserve">8.2.1. по факсу, указанному Участником Акции сотруднику медицинских кабинетов при регистрации заказа; </w:t>
      </w:r>
    </w:p>
    <w:p>
      <w:pPr>
        <w:ind w:left="-5"/>
        <w:pStyle w:val="0"/>
      </w:pPr>
      <w:r>
        <w:t xml:space="preserve">8.2.2. по адресу электронной почты, указанному Участником Акции сотруднику медицинских кабинетов при регистрации заказа. В этом случае, результаты лабораторных исследований отправляются Участнику Акции автоматической системой доставки результатов (СДР) без участия человека, согласно заявленным срокам. Результаты лабораторных исследований содержатся в сообщении в виде вложенного файла в формате Adobe® PDF® и являются точной, неизменяемой электронной копией бумажного бланка с результатами лабораторных исследований. </w:t>
      </w:r>
    </w:p>
    <w:p>
      <w:pPr>
        <w:ind w:left="-5"/>
        <w:pStyle w:val="0"/>
      </w:pPr>
      <w:r>
        <w:t xml:space="preserve">8.2.3. В «личном кабинете» на сайте </w:t>
      </w:r>
      <w:hyperlink r:id="rId7">
        <w:r>
          <w:rPr>
            <w:color w:val="0563c1"/>
            <w:u w:val="single"/>
          </w:rPr>
          <w:t>www.skylabkdl.ru</w:t>
        </w:r>
      </w:hyperlink>
      <w:r>
        <w:t xml:space="preserve">. </w:t>
      </w:r>
    </w:p>
    <w:p>
      <w:pPr>
        <w:ind w:left="-5"/>
        <w:pStyle w:val="0"/>
      </w:pPr>
      <w:r>
        <w:t xml:space="preserve">8.3. Организаторы Акции не несут ответственности в случае отправки результатов лабораторных исследований по неправильному электронному адресу (указанному Участником Акции при регистрации заказа в медицинских кабинетах) или не тому адресату, вследствие неправильной регистрации фамилии, имени, отчества Участника Акции, адреса электронной почты, либо неполной информации об адресате (Участнике Акции). </w:t>
      </w:r>
    </w:p>
    <w:p>
      <w:pPr>
        <w:jc w:val="left"/>
        <w:ind w:left="0" w:firstLine="0"/>
        <w:pStyle w:val="0"/>
        <w:spacing w:after="26" w:lineRule="auto" w:line="259.0008"/>
      </w:pPr>
      <w:r>
        <w:t xml:space="preserve">  </w:t>
      </w:r>
    </w:p>
    <w:p>
      <w:pPr>
        <w:ind w:left="206" w:right="0" w:hanging="221"/>
        <w:pStyle w:val="1"/>
      </w:pPr>
      <w:r>
        <w:t xml:space="preserve">Дополнительные условия  </w:t>
      </w:r>
    </w:p>
    <w:p>
      <w:pPr>
        <w:ind w:left="-5"/>
        <w:pStyle w:val="0"/>
      </w:pPr>
      <w:r>
        <w:t xml:space="preserve">9.1. Организаторы Акции не несут ответственности за работу Интернет-ресурсов, используемых при отправке Участникам Акции результатов лабораторных исследований. </w:t>
      </w:r>
    </w:p>
    <w:p>
      <w:pPr>
        <w:ind w:left="-5"/>
        <w:pStyle w:val="0"/>
      </w:pPr>
      <w:r>
        <w:t xml:space="preserve">9.2. Организаторы Акции не несут ответственности за достоверность результатов лабораторных исследований в случае нарушения Участником Акции условий подготовки к взятию материала для проведения лабораторных исследований, указанных на сайте </w:t>
      </w:r>
      <w:hyperlink r:id="rId8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цены», а равно в случае нарушения условий сбора и хранения биоматериала (моча) для проведения лабораторных исследований, указанных на сайте </w:t>
      </w:r>
      <w:hyperlink r:id="rId9">
        <w:r>
          <w:rPr>
            <w:color w:val="0563c1"/>
            <w:u w:val="single"/>
          </w:rPr>
          <w:t>www.skylabkdl.ru</w:t>
        </w:r>
      </w:hyperlink>
      <w:r>
        <w:t xml:space="preserve"> в разделах «Пациентам» - «Подготовка к анализам» и «Анализы и цены».</w:t>
      </w:r>
      <w:r>
        <w:rPr>
          <w:color w:val="ff0000"/>
        </w:rPr>
        <w:t xml:space="preserve">     </w:t>
      </w:r>
    </w:p>
    <w:p>
      <w:pPr>
        <w:ind w:left="-5"/>
        <w:pStyle w:val="0"/>
      </w:pPr>
      <w:r>
        <w:t xml:space="preserve">9.3. Любому Участнику Акции может быть отказано в участии в Акции, в том случае если данный Участник причинял беспокойство, а также оскорблял, угрожал и иным неподобающим образом вел себя в отношении сотрудников и контрагентов Организаторов Акции.  </w:t>
      </w:r>
    </w:p>
    <w:p>
      <w:pPr>
        <w:ind w:left="-5"/>
        <w:pStyle w:val="0"/>
      </w:pPr>
      <w:r>
        <w:t xml:space="preserve">9.4.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</w:t>
      </w:r>
      <w:r>
        <w:rPr>
          <w:color w:val="c45911"/>
        </w:rPr>
        <w:t xml:space="preserve">. </w:t>
      </w:r>
      <w:r>
        <w:t xml:space="preserve">9.5. Участие в Акции автоматически подразумевает ознакомление и полное согласие Участников Акции с настоящими Правилами ее проведения.  </w:t>
      </w:r>
    </w:p>
    <w:p>
      <w:pPr>
        <w:pStyle w:val="0"/>
        <w:rPr>
          <w:b w:val="1"/>
        </w:rPr>
      </w:pPr>
      <w:r>
        <w:t xml:space="preserve">9.6. Акция является совместной рекламной акцией ООО «СКАЙЛАБ», направленной на  и </w:t>
      </w:r>
      <w:r>
        <w:rPr>
          <w:b w:val="1"/>
        </w:rPr>
        <w:t xml:space="preserve">ООО «Медицинский центр «Самарская школа ультразвука» </w:t>
      </w:r>
      <w:r>
        <w:t xml:space="preserve">стимулирование реализации медицинских услуг и увеличение потока пациентов.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  <w: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right"/>
        <w:ind w:right="-8"/>
        <w:pStyle w:val="0"/>
        <w:spacing w:after="30" w:lineRule="auto" w:line="259.0008"/>
      </w:pPr>
      <w:r>
        <w:rPr>
          <w:sz w:val="24"/>
          <w:b w:val="1"/>
        </w:rPr>
        <w:t xml:space="preserve">Приложение № 1 </w:t>
      </w:r>
    </w:p>
    <w:p>
      <w:pPr>
        <w:jc w:val="right"/>
        <w:ind w:right="-8"/>
        <w:pStyle w:val="0"/>
        <w:spacing w:after="30" w:lineRule="auto" w:line="259.0008"/>
      </w:pPr>
      <w:r>
        <w:rPr>
          <w:sz w:val="24"/>
          <w:b w:val="1"/>
        </w:rPr>
        <w:t xml:space="preserve">к Правилам рекламной акции </w:t>
      </w:r>
    </w:p>
    <w:p>
      <w:pPr>
        <w:jc w:val="right"/>
        <w:ind w:right="-10"/>
        <w:pStyle w:val="0"/>
        <w:spacing w:after="35" w:lineRule="auto" w:line="259.0008"/>
        <w:rPr>
          <w:b w:val="1"/>
        </w:rPr>
      </w:pPr>
      <w:r>
        <w:rPr>
          <w:b w:val="1"/>
        </w:rPr>
        <w:t xml:space="preserve">«Комплексное обследование </w:t>
      </w:r>
    </w:p>
    <w:p>
      <w:pPr>
        <w:jc w:val="right"/>
        <w:ind w:right="-10"/>
        <w:pStyle w:val="0"/>
        <w:spacing w:after="35" w:lineRule="auto" w:line="259.0008"/>
        <w:rPr>
          <w:sz w:val="24"/>
          <w:b w:val="1"/>
        </w:rPr>
      </w:pPr>
      <w:r>
        <w:rPr>
          <w:b w:val="1"/>
        </w:rPr>
        <w:t xml:space="preserve">щитовидной железы за 3390руб.»</w:t>
      </w:r>
      <w:r>
        <w:rPr>
          <w:sz w:val="24"/>
          <w:b w:val="1"/>
        </w:rPr>
        <w:t xml:space="preserve"> </w:t>
      </w:r>
    </w:p>
    <w:p>
      <w:pPr>
        <w:jc w:val="left"/>
        <w:ind w:left="0" w:firstLine="0"/>
        <w:pStyle w:val="0"/>
        <w:spacing w:after="0" w:lineRule="auto" w:line="259.0008"/>
      </w:pPr>
    </w:p>
    <w:p>
      <w:pPr>
        <w:jc w:val="left"/>
        <w:ind w:left="0" w:firstLine="0"/>
        <w:pStyle w:val="0"/>
        <w:spacing w:after="27" w:lineRule="auto" w:line="259.0008"/>
      </w:pPr>
      <w:r>
        <w:t xml:space="preserve"> </w:t>
      </w:r>
    </w:p>
    <w:p>
      <w:pPr>
        <w:jc w:val="center"/>
        <w:ind w:left="457"/>
        <w:pStyle w:val="0"/>
        <w:spacing w:after="158" w:lineRule="auto" w:line="259.0008"/>
      </w:pPr>
      <w:r>
        <w:rPr>
          <w:b w:val="1"/>
        </w:rPr>
        <w:t xml:space="preserve">Адреса медицинских кабинетов: </w:t>
      </w:r>
    </w:p>
    <w:p>
      <w:pPr>
        <w:jc w:val="center"/>
        <w:ind w:left="503" w:firstLine="0"/>
        <w:pStyle w:val="0"/>
        <w:spacing w:after="194" w:lineRule="auto" w:line="259.0008"/>
      </w:pPr>
      <w:r>
        <w:rPr>
          <w:b w:val="1"/>
        </w:rPr>
        <w:t xml:space="preserve"> </w:t>
      </w:r>
    </w:p>
    <w:p>
      <w:pPr>
        <w:jc w:val="center"/>
        <w:ind w:left="0" w:right="8" w:firstLine="0"/>
        <w:pStyle w:val="0"/>
        <w:spacing w:after="0" w:lineRule="auto" w:line="259.0008"/>
      </w:pPr>
      <w:r>
        <w:t xml:space="preserve">Перечень медицинских кабинетов, участвующих в Акции, с указанием адресов. </w:t>
      </w:r>
    </w:p>
    <w:p>
      <w:pPr>
        <w:ind w:left="2638" w:hanging="2096"/>
        <w:pStyle w:val="0"/>
      </w:pPr>
      <w:r>
        <w:t xml:space="preserve">Перед посещением медицинского кабинета необходимо уточнить график работы и приема биоматериала по телефону 8-800-550-56-06 </w:t>
      </w:r>
    </w:p>
    <w:p>
      <w:pPr>
        <w:jc w:val="center"/>
        <w:ind w:left="52" w:firstLine="0"/>
        <w:pStyle w:val="0"/>
        <w:spacing w:after="0" w:lineRule="auto" w:line="259.0008"/>
      </w:pPr>
      <w:r>
        <w:t xml:space="preserve"> </w:t>
      </w:r>
    </w:p>
    <w:p>
      <w:pPr>
        <w:ind w:left="0" w:firstLine="0"/>
        <w:pStyle w:val="0"/>
        <w:spacing w:after="0" w:lineRule="auto" w:line="259.0008"/>
      </w:pPr>
      <w:r>
        <w:t xml:space="preserve"> </w:t>
      </w:r>
    </w:p>
    <w:tbl>
      <w:tblPr>
        <w:tblCellMar>
          <w:left w:type="dxa" w:w="107"/>
          <w:right w:type="dxa" w:w="80"/>
          <w:top w:type="dxa" w:w="42"/>
          <w:bottom w:type="dxa" w:w="0"/>
        </w:tblCellMar>
        <w:tblW w:type="dxa" w:w="9071"/>
        <w:tblLayout w:type="autofit"/>
        <w:tblInd w:type="dxa" w:w="-106"/>
      </w:tblPr>
      <w:tblGrid>
        <w:gridCol w:w="2077"/>
        <w:gridCol w:w="3024"/>
        <w:gridCol w:w="3970"/>
      </w:tblGrid>
      <w:tr>
        <w:trPr>
          <w:tblCellMar/>
          <w:trHeight w:val="307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Населенный пункт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Название МК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shd w:fill="daeef3"/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Адрес 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Чернореченская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г.Самара. ул. Чернореченская, д.34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Молодогвардейская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улица Молодогвардейская/Некрасовская, дом 102/58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Урицкого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ул. Урицкого, д. 9/124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Металлургов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проспект Металлургов/Марии Авейде, д. 77/31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Пугачевский тракт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Пугачевский тракт, д. 74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Гагарина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ул. Гагарина, д. 65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pStyle w:val="0"/>
            </w:pPr>
            <w:r>
              <w:rPr>
                <w:sz w:val="20"/>
              </w:rPr>
              <w:t xml:space="preserve">г. Самара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Стара-Загора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Самара,  ул. Стара-Загора, д. 25</w:t>
            </w:r>
          </w:p>
        </w:tc>
      </w:tr>
      <w:tr>
        <w:trPr>
          <w:tblCellMar/>
          <w:trHeight w:val="311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077"/>
          </w:tcPr>
          <w:p>
            <w:pPr>
              <w:jc w:val="left"/>
              <w:ind w:left="0" w:firstLine="0"/>
              <w:pStyle w:val="0"/>
              <w:spacing w:after="0" w:lineRule="auto" w:line="259.0008"/>
              <w:rPr>
                <w:sz w:val="20"/>
              </w:rPr>
            </w:pPr>
            <w:r>
              <w:t xml:space="preserve">г. Новокуйбышевск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024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МК Пирогова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3970"/>
          </w:tcPr>
          <w:p>
            <w:pPr>
              <w:jc w:val="left"/>
              <w:ind w:left="2" w:firstLine="0"/>
              <w:pStyle w:val="0"/>
              <w:spacing w:after="0" w:lineRule="auto" w:line="259.0008"/>
            </w:pPr>
            <w:r>
              <w:t xml:space="preserve">г. Новокуйбышевск, ул. Пирогова, д. 16.</w:t>
            </w:r>
          </w:p>
        </w:tc>
      </w:tr>
    </w:tbl>
    <w:p>
      <w:pPr>
        <w:ind w:left="0" w:firstLine="0"/>
        <w:pStyle w:val="0"/>
        <w:spacing w:after="0" w:lineRule="auto" w:line="259.0008"/>
      </w:pPr>
    </w:p>
    <w:p>
      <w:pPr>
        <w:ind w:left="0" w:firstLine="0"/>
        <w:pStyle w:val="0"/>
        <w:spacing w:after="0" w:lineRule="auto" w:line="259.0008"/>
      </w:pPr>
    </w:p>
    <w:sectPr>
      <w:pgSz w:w="11906" w:h="16838"/>
      <w:pgMar w:top="1133" w:bottom="1143" w:left="1702" w:right="844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•"/>
      <w:start w:val="1"/>
      <w:pPr>
        <w:ind w:left="72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44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21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88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60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432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504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7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48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2">
    <w:lvl w:ilvl="0">
      <w:numFmt w:val="bullet"/>
      <w:lvlText w:val="•"/>
      <w:start w:val="1"/>
      <w:pPr>
        <w:ind w:left="72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44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21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88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60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432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5040"/>
      </w:pPr>
      <w:rPr>
        <w:rFonts w:hAnsi="Arial" w:ascii="Arial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76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480"/>
      </w:pPr>
      <w:rPr>
        <w:rFonts w:hAnsi="Segoe UI Symbol" w:ascii="Segoe UI Symbol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3">
    <w:lvl w:ilvl="0">
      <w:numFmt w:val="decimal"/>
      <w:lvlText w:val="%1"/>
      <w:start w:val="6"/>
      <w:pPr>
        <w:ind w:left="3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decimal"/>
      <w:lvlText w:val="%1.%2."/>
      <w:start w:val="3"/>
      <w:pPr>
        <w:ind w:left="1274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decimal"/>
      <w:lvlText w:val="%3"/>
      <w:start w:val="1"/>
      <w:pPr>
        <w:ind w:left="10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decimal"/>
      <w:lvlText w:val="%4"/>
      <w:start w:val="1"/>
      <w:pPr>
        <w:ind w:left="18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decimal"/>
      <w:lvlText w:val="%5"/>
      <w:start w:val="1"/>
      <w:pPr>
        <w:ind w:left="25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decimal"/>
      <w:lvlText w:val="%6"/>
      <w:start w:val="1"/>
      <w:pPr>
        <w:ind w:left="324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decimal"/>
      <w:lvlText w:val="%7"/>
      <w:start w:val="1"/>
      <w:pPr>
        <w:ind w:left="39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decimal"/>
      <w:lvlText w:val="%8"/>
      <w:start w:val="1"/>
      <w:pPr>
        <w:ind w:left="46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decimal"/>
      <w:lvlText w:val="%9"/>
      <w:start w:val="1"/>
      <w:pPr>
        <w:ind w:left="54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4">
    <w:lvl w:ilvl="0">
      <w:numFmt w:val="bullet"/>
      <w:lvlText w:val="•"/>
      <w:start w:val="1"/>
      <w:pPr>
        <w:ind w:left="1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1">
      <w:numFmt w:val="bullet"/>
      <w:lvlText w:val="o"/>
      <w:start w:val="1"/>
      <w:pPr>
        <w:ind w:left="10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2">
      <w:numFmt w:val="bullet"/>
      <w:lvlText w:val="▪"/>
      <w:start w:val="1"/>
      <w:pPr>
        <w:ind w:left="18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3">
      <w:numFmt w:val="bullet"/>
      <w:lvlText w:val="•"/>
      <w:start w:val="1"/>
      <w:pPr>
        <w:ind w:left="25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4">
      <w:numFmt w:val="bullet"/>
      <w:lvlText w:val="o"/>
      <w:start w:val="1"/>
      <w:pPr>
        <w:ind w:left="324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5">
      <w:numFmt w:val="bullet"/>
      <w:lvlText w:val="▪"/>
      <w:start w:val="1"/>
      <w:pPr>
        <w:ind w:left="396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6">
      <w:numFmt w:val="bullet"/>
      <w:lvlText w:val="•"/>
      <w:start w:val="1"/>
      <w:pPr>
        <w:ind w:left="468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7">
      <w:numFmt w:val="bullet"/>
      <w:lvlText w:val="o"/>
      <w:start w:val="1"/>
      <w:pPr>
        <w:ind w:left="540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  <w:lvl w:ilvl="8">
      <w:numFmt w:val="bullet"/>
      <w:lvlText w:val="▪"/>
      <w:start w:val="1"/>
      <w:pPr>
        <w:ind w:left="6120"/>
      </w:pPr>
      <w:rPr>
        <w:rFonts w:hAnsi="Times New Roman" w:ascii="Times New Roman"/>
        <w:sz w:val="22"/>
        <w:b w:val="0"/>
        <w:i w:val="0"/>
        <w:strike w:val="0"/>
        <w:color w:val="000000"/>
        <w:u w:val="none"/>
        <w:vertAlign w:val="baseline"/>
      </w:rPr>
    </w:lvl>
  </w:abstractNum>
  <w:abstractNum w:abstractNumId="5">
    <w:lvl w:ilvl="0">
      <w:numFmt w:val="decimal"/>
      <w:lvlText w:val="%1."/>
      <w:start w:val="2"/>
      <w:pPr>
        <w:ind w:left="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1">
      <w:numFmt w:val="decimal"/>
      <w:lvlText w:val="%2"/>
      <w:start w:val="1"/>
      <w:pPr>
        <w:ind w:left="108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2">
      <w:numFmt w:val="decimal"/>
      <w:lvlText w:val="%3"/>
      <w:start w:val="1"/>
      <w:pPr>
        <w:ind w:left="180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3">
      <w:numFmt w:val="decimal"/>
      <w:lvlText w:val="%4"/>
      <w:start w:val="1"/>
      <w:pPr>
        <w:ind w:left="252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4">
      <w:numFmt w:val="decimal"/>
      <w:lvlText w:val="%5"/>
      <w:start w:val="1"/>
      <w:pPr>
        <w:ind w:left="324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5">
      <w:numFmt w:val="decimal"/>
      <w:lvlText w:val="%6"/>
      <w:start w:val="1"/>
      <w:pPr>
        <w:ind w:left="396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6">
      <w:numFmt w:val="decimal"/>
      <w:lvlText w:val="%7"/>
      <w:start w:val="1"/>
      <w:pPr>
        <w:ind w:left="468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7">
      <w:numFmt w:val="decimal"/>
      <w:lvlText w:val="%8"/>
      <w:start w:val="1"/>
      <w:pPr>
        <w:ind w:left="540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  <w:lvl w:ilvl="8">
      <w:numFmt w:val="decimal"/>
      <w:lvlText w:val="%9"/>
      <w:start w:val="1"/>
      <w:pPr>
        <w:ind w:left="6120"/>
      </w:pPr>
      <w:rPr>
        <w:rFonts w:hAnsi="Times New Roman" w:ascii="Times New Roman"/>
        <w:sz w:val="22"/>
        <w:b w:val="1"/>
        <w:i w:val="0"/>
        <w:strike w:val="0"/>
        <w:color w:val="00000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1" w:type="paragraph">
    <w:name w:val="Заголовок 1"/>
    <w:pPr>
      <w:ind w:left="10" w:right="5" w:hanging="10"/>
      <w:spacing w:after="4" w:lineRule="auto" w:line="268.0008"/>
      <w:numPr>
        <w:ilvl w:val="0"/>
        <w:numId w:val="5"/>
      </w:numPr>
    </w:pPr>
    <w:rPr>
      <w:rFonts w:hAnsi="Times New Roman" w:ascii="Times New Roman"/>
      <w:sz w:val="22"/>
      <w:b w:val="1"/>
      <w:color w:val="000000"/>
    </w:rPr>
  </w:style>
  <w:style w:styleId="0" w:type="paragraph">
    <w:name w:val="Обычный"/>
    <w:pPr>
      <w:jc w:val="both"/>
      <w:ind w:left="10" w:hanging="10"/>
      <w:spacing w:after="5" w:lineRule="auto" w:line="268.0008"/>
    </w:pPr>
    <w:rPr>
      <w:rFonts w:hAnsi="Times New Roman" w:ascii="Times New Roman"/>
      <w:sz w:val="22"/>
      <w:color w:val="000000"/>
    </w:rPr>
  </w:style>
  <w:style w:styleId="19" w:type="paragraph">
    <w:name w:val="Текст выноски"/>
    <w:pPr>
      <w:jc w:val="both"/>
      <w:ind w:left="10" w:hanging="10"/>
      <w:spacing w:after="0" w:lineRule="auto" w:line="240.0"/>
    </w:pPr>
    <w:rPr>
      <w:rFonts w:hAnsi="Segoe UI" w:ascii="Segoe UI"/>
      <w:sz w:val="18"/>
      <w:color w:val="000000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www.skylabkdl.ru"/><Relationship TargetMode="External" Type="http://schemas.openxmlformats.org/officeDocument/2006/relationships/hyperlink" Id="rId2" Target="http://www.skylabkdl.ru"/><Relationship TargetMode="External" Type="http://schemas.openxmlformats.org/officeDocument/2006/relationships/hyperlink" Id="rId3" Target="http://www.skylabkdl.ru"/><Relationship TargetMode="External" Type="http://schemas.openxmlformats.org/officeDocument/2006/relationships/hyperlink" Id="rId4" Target="http://www.skylabkdl.ru"/><Relationship TargetMode="External" Type="http://schemas.openxmlformats.org/officeDocument/2006/relationships/hyperlink" Id="rId5" Target="http://www.skylabkdl.ru"/><Relationship TargetMode="External" Type="http://schemas.openxmlformats.org/officeDocument/2006/relationships/hyperlink" Id="rId6" Target="http://www.skylabkdl.ru"/><Relationship TargetMode="External" Type="http://schemas.openxmlformats.org/officeDocument/2006/relationships/hyperlink" Id="rId7" Target="http://www.skylabkdl.ru"/><Relationship TargetMode="External" Type="http://schemas.openxmlformats.org/officeDocument/2006/relationships/hyperlink" Id="rId8" Target="http://www.skylabkdl.ru"/><Relationship TargetMode="External" Type="http://schemas.openxmlformats.org/officeDocument/2006/relationships/hyperlink" Id="rId9" Target="http://www.skylabkdl.ru"/><Relationship Id="rId10" Target="numbering.xml" Type="http://schemas.openxmlformats.org/officeDocument/2006/relationships/numbering"/><Relationship Id="rId11" Target="settings.xml" Type="http://schemas.openxmlformats.org/officeDocument/2006/relationships/settings"/><Relationship Id="rId12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Правила акции Компл.ослед.щит.железы 17,04,2017 (копия 1).docx</dc:title>
</cp:coreProperties>
</file>